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Silva Paul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RAPPORT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Rapport Therapeutics, Inc.</w:t>
              </w:r>
            </w:hyperlink>
            <w:r>
              <w:rPr/>
              <w:t xml:space="preserve"> [ </w:t>
            </w:r>
            <w:r>
              <w:rPr>
                <w:rFonts w:ascii="Times;serif" w:hAnsi="Times;serif"/>
                <w:color w:val="0000FF"/>
                <w:sz w:val="24"/>
                <w:shd w:fill="FFFFFF" w:val="clear"/>
              </w:rPr>
              <w:t>RAPP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35.21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shall vest upon the earlier of (i) June 10, 2027 and (ii) the date of the next Annual Meeting of Stockholders of the Issuer,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Troy Ignelzi,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6372" TargetMode="External"/><Relationship Id="rId5" Type="http://schemas.openxmlformats.org/officeDocument/2006/relationships/hyperlink" Target="http://www.sec.gov/cgi-bin/browse-edgar?action=getcompany&amp;CIK=0002012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3295</Characters>
  <CharactersWithSpaces>3843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