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Ceesay Abraham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RAPPORT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99 HIGH STREET, SUITE 2100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Rapport Therapeutics, Inc.</w:t>
              </w:r>
            </w:hyperlink>
            <w:r>
              <w:rPr/>
              <w:t xml:space="preserve"> [ </w:t>
            </w:r>
            <w:r>
              <w:rPr>
                <w:rFonts w:ascii="Times;serif" w:hAnsi="Times;serif"/>
                <w:color w:val="0000FF"/>
                <w:sz w:val="24"/>
                <w:shd w:fill="FFFFFF" w:val="clear"/>
              </w:rPr>
              <w:t>RAPP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06"/>
        <w:gridCol w:w="919"/>
        <w:gridCol w:w="789"/>
        <w:gridCol w:w="610"/>
        <w:gridCol w:w="341"/>
        <w:gridCol w:w="813"/>
        <w:gridCol w:w="422"/>
        <w:gridCol w:w="993"/>
        <w:gridCol w:w="1117"/>
        <w:gridCol w:w="967"/>
        <w:gridCol w:w="12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0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0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9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1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0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3,375</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32.0314</w:t>
            </w:r>
            <w:r>
              <w:rPr>
                <w:rFonts w:ascii="Times;serif" w:hAnsi="Times;serif"/>
                <w:color w:val="008000"/>
                <w:position w:val="7"/>
                <w:sz w:val="16"/>
                <w:sz w:val="20"/>
                <w:shd w:fill="FFFFFF" w:val="clear"/>
              </w:rPr>
              <w:t>(2)</w:t>
            </w:r>
          </w:p>
        </w:tc>
        <w:tc>
          <w:tcPr>
            <w:tcW w:w="11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453,392</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10/07/2026</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1,147</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30.66</w:t>
            </w:r>
            <w:r>
              <w:rPr>
                <w:rFonts w:ascii="Times;serif" w:hAnsi="Times;serif"/>
                <w:color w:val="008000"/>
                <w:position w:val="7"/>
                <w:sz w:val="16"/>
                <w:sz w:val="20"/>
                <w:shd w:fill="FFFFFF" w:val="clear"/>
              </w:rPr>
              <w:t>(3)</w:t>
            </w:r>
          </w:p>
        </w:tc>
        <w:tc>
          <w:tcPr>
            <w:tcW w:w="11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452,245</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81,729</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Ceesay Family Irrevocable Trust</w:t>
            </w:r>
          </w:p>
        </w:tc>
      </w:tr>
      <w:tr>
        <w:trPr/>
        <w:tc>
          <w:tcPr>
            <w:tcW w:w="200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20,729</w:t>
            </w:r>
          </w:p>
        </w:tc>
        <w:tc>
          <w:tcPr>
            <w:tcW w:w="9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Dorothy Ceesay Irrevocable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transactions were effected by the Reporting Person pursuant to Rule 10b5-1 trading plans adopted on March 27,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prices ranging from $31.65 to $32.64,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shares were sold in multiple transactions at prices ranging from $30.33 to $30.89,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Troy Ignelzi,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22140" TargetMode="External"/><Relationship Id="rId5" Type="http://schemas.openxmlformats.org/officeDocument/2006/relationships/hyperlink" Target="http://www.sec.gov/cgi-bin/browse-edgar?action=getcompany&amp;CIK=000201259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755</Words>
  <Characters>4097</Characters>
  <CharactersWithSpaces>4766</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