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Ceesay Abraham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RAPPORT 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99 HIGH STREET, SUITE 2100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02110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Rapport Therapeutics, Inc.</w:t>
              </w:r>
            </w:hyperlink>
            <w:r>
              <w:rPr/>
              <w:t xml:space="preserve"> [ </w:t>
            </w:r>
            <w:r>
              <w:rPr>
                <w:rFonts w:ascii="Times;serif" w:hAnsi="Times;serif"/>
                <w:color w:val="0000FF"/>
                <w:sz w:val="24"/>
                <w:shd w:fill="FFFFFF" w:val="clear"/>
              </w:rPr>
              <w:t>RAPP</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09/08/2026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06"/>
        <w:gridCol w:w="919"/>
        <w:gridCol w:w="789"/>
        <w:gridCol w:w="610"/>
        <w:gridCol w:w="341"/>
        <w:gridCol w:w="813"/>
        <w:gridCol w:w="422"/>
        <w:gridCol w:w="993"/>
        <w:gridCol w:w="1117"/>
        <w:gridCol w:w="967"/>
        <w:gridCol w:w="12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06"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2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2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06"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9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1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0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09/08/2026</w:t>
            </w:r>
          </w:p>
        </w:tc>
        <w:tc>
          <w:tcPr>
            <w:tcW w:w="7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7,141</w:t>
            </w:r>
          </w:p>
        </w:tc>
        <w:tc>
          <w:tcPr>
            <w:tcW w:w="4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45.555</w:t>
            </w:r>
            <w:r>
              <w:rPr>
                <w:rFonts w:ascii="Times;serif" w:hAnsi="Times;serif"/>
                <w:color w:val="008000"/>
                <w:position w:val="7"/>
                <w:sz w:val="16"/>
                <w:sz w:val="20"/>
                <w:shd w:fill="FFFFFF" w:val="clear"/>
              </w:rPr>
              <w:t>(2)</w:t>
            </w:r>
          </w:p>
        </w:tc>
        <w:tc>
          <w:tcPr>
            <w:tcW w:w="11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460,046</w:t>
            </w:r>
          </w:p>
        </w:tc>
        <w:tc>
          <w:tcPr>
            <w:tcW w:w="9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0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09/08/2026</w:t>
            </w:r>
          </w:p>
        </w:tc>
        <w:tc>
          <w:tcPr>
            <w:tcW w:w="7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1,069</w:t>
            </w:r>
          </w:p>
        </w:tc>
        <w:tc>
          <w:tcPr>
            <w:tcW w:w="4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46.0147</w:t>
            </w:r>
            <w:r>
              <w:rPr>
                <w:rFonts w:ascii="Times;serif" w:hAnsi="Times;serif"/>
                <w:color w:val="008000"/>
                <w:position w:val="7"/>
                <w:sz w:val="16"/>
                <w:sz w:val="20"/>
                <w:shd w:fill="FFFFFF" w:val="clear"/>
              </w:rPr>
              <w:t>(3)</w:t>
            </w:r>
          </w:p>
        </w:tc>
        <w:tc>
          <w:tcPr>
            <w:tcW w:w="11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458,977</w:t>
            </w:r>
          </w:p>
        </w:tc>
        <w:tc>
          <w:tcPr>
            <w:tcW w:w="9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0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81,729</w:t>
            </w:r>
          </w:p>
        </w:tc>
        <w:tc>
          <w:tcPr>
            <w:tcW w:w="9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Ceesay Family Irrevocable Trust</w:t>
            </w:r>
          </w:p>
        </w:tc>
      </w:tr>
      <w:tr>
        <w:trPr/>
        <w:tc>
          <w:tcPr>
            <w:tcW w:w="200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1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20,729</w:t>
            </w:r>
          </w:p>
        </w:tc>
        <w:tc>
          <w:tcPr>
            <w:tcW w:w="96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Dorothy Ceesay Irrevocable Trust</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transactions were effected by the Reporting Person pursuant to Rule 10b5-1 trading plans adopted on March 27,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 shares were sold in multiple transactions at prices ranging from $44.94 to $45.90, inclusive. The Reporting Person undertakes to provide to the Issuer, any security holder of the Issuer or the staff of the Securities and Exchange Commission, upon request, full information regarding the number of shares sold at each separate price at which the transactions were effected.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 shares were sold in multiple transactions at prices ranging from $45.95 to $46.17, inclusive. The Reporting Person undertakes to provide to the Issuer, any security holder of the Issuer or the staff of the Securities and Exchange Commission, upon request, full information regarding the number of shares sold at each separate price at which the transactions were effected.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Troy Ignelzi,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722140" TargetMode="External"/><Relationship Id="rId5" Type="http://schemas.openxmlformats.org/officeDocument/2006/relationships/hyperlink" Target="http://www.sec.gov/cgi-bin/browse-edgar?action=getcompany&amp;CIK=000201259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755</Words>
  <Characters>4098</Characters>
  <CharactersWithSpaces>4767</CharactersWithSpaces>
  <Paragraphs>115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